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C2C0" w14:textId="77777777" w:rsidR="003973ED" w:rsidRPr="00E20577" w:rsidRDefault="003973ED" w:rsidP="0086558D">
      <w:pPr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E20577">
        <w:rPr>
          <w:rFonts w:ascii="Tahoma" w:hAnsi="Tahoma" w:cs="Tahoma"/>
          <w:b/>
          <w:sz w:val="24"/>
        </w:rPr>
        <w:t>Checklista vid utbrott av Vinterkräks</w:t>
      </w:r>
      <w:r w:rsidR="0086558D" w:rsidRPr="00E20577">
        <w:rPr>
          <w:rFonts w:ascii="Tahoma" w:hAnsi="Tahoma" w:cs="Tahoma"/>
          <w:b/>
          <w:sz w:val="24"/>
        </w:rPr>
        <w:t>juka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481"/>
        <w:gridCol w:w="12341"/>
        <w:gridCol w:w="1169"/>
        <w:gridCol w:w="835"/>
      </w:tblGrid>
      <w:tr w:rsidR="00AA0DB5" w:rsidRPr="00E20577" w14:paraId="2483292B" w14:textId="30D9E18A" w:rsidTr="00AA0DB5">
        <w:tc>
          <w:tcPr>
            <w:tcW w:w="426" w:type="dxa"/>
            <w:shd w:val="clear" w:color="auto" w:fill="BDD6EE" w:themeFill="accent1" w:themeFillTint="66"/>
          </w:tcPr>
          <w:p w14:paraId="5BDE7902" w14:textId="47AF3930" w:rsidR="00AA0DB5" w:rsidRPr="00E20577" w:rsidRDefault="00AA0DB5" w:rsidP="00AA0DB5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328E9F54" w14:textId="3B6990A2" w:rsidR="00AA0DB5" w:rsidRPr="00E20577" w:rsidRDefault="00AA0DB5" w:rsidP="00E20577">
            <w:pPr>
              <w:spacing w:before="120"/>
              <w:rPr>
                <w:rFonts w:ascii="Tahoma" w:hAnsi="Tahoma" w:cs="Tahoma"/>
                <w:b/>
              </w:rPr>
            </w:pPr>
            <w:r w:rsidRPr="00E20577">
              <w:rPr>
                <w:rFonts w:ascii="Tahoma" w:hAnsi="Tahoma" w:cs="Tahoma"/>
                <w:b/>
              </w:rPr>
              <w:t>Åtgärd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5878F697" w14:textId="2DA0617D" w:rsidR="00AA0DB5" w:rsidRPr="00E20577" w:rsidRDefault="00AA0DB5" w:rsidP="00E20577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E20577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836" w:type="dxa"/>
            <w:shd w:val="clear" w:color="auto" w:fill="BDD6EE" w:themeFill="accent1" w:themeFillTint="66"/>
          </w:tcPr>
          <w:p w14:paraId="31AE3072" w14:textId="52426CF8" w:rsidR="00AA0DB5" w:rsidRPr="00E20577" w:rsidRDefault="00AA0DB5" w:rsidP="00E20577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E20577">
              <w:rPr>
                <w:rFonts w:ascii="Tahoma" w:hAnsi="Tahoma" w:cs="Tahoma"/>
                <w:b/>
              </w:rPr>
              <w:t>Sign</w:t>
            </w:r>
          </w:p>
        </w:tc>
      </w:tr>
      <w:tr w:rsidR="00AA0DB5" w:rsidRPr="00E20577" w14:paraId="3BFF2D41" w14:textId="028547F4" w:rsidTr="00AA0DB5">
        <w:tc>
          <w:tcPr>
            <w:tcW w:w="426" w:type="dxa"/>
          </w:tcPr>
          <w:p w14:paraId="0A449EB7" w14:textId="342D1AF8" w:rsidR="00AA0DB5" w:rsidRPr="00E20577" w:rsidRDefault="00AA0DB5" w:rsidP="00AA0DB5">
            <w:pPr>
              <w:jc w:val="center"/>
            </w:pPr>
            <w:r>
              <w:t>1</w:t>
            </w:r>
          </w:p>
        </w:tc>
        <w:tc>
          <w:tcPr>
            <w:tcW w:w="12394" w:type="dxa"/>
          </w:tcPr>
          <w:p w14:paraId="0AFA363B" w14:textId="00D5199F" w:rsidR="00AA0DB5" w:rsidRPr="00E20577" w:rsidRDefault="00AA0DB5" w:rsidP="00E20577">
            <w:r w:rsidRPr="00E20577">
              <w:t xml:space="preserve">Ansvarig chef och ansvarig sjuksköterska informeras om </w:t>
            </w:r>
            <w:proofErr w:type="gramStart"/>
            <w:r w:rsidRPr="00E20577">
              <w:t>misstanke utbrott</w:t>
            </w:r>
            <w:proofErr w:type="gramEnd"/>
            <w:r w:rsidRPr="00E20577">
              <w:t xml:space="preserve"> och sedan konstaterat utbrott samt informera all övrig personal</w:t>
            </w:r>
          </w:p>
        </w:tc>
        <w:tc>
          <w:tcPr>
            <w:tcW w:w="1170" w:type="dxa"/>
          </w:tcPr>
          <w:p w14:paraId="0A3C70A6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4E261A81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612AAE79" w14:textId="26D3AFEB" w:rsidTr="00AA0DB5">
        <w:tc>
          <w:tcPr>
            <w:tcW w:w="426" w:type="dxa"/>
            <w:shd w:val="clear" w:color="auto" w:fill="BDD6EE" w:themeFill="accent1" w:themeFillTint="66"/>
          </w:tcPr>
          <w:p w14:paraId="06A2F3AA" w14:textId="417071D0" w:rsidR="00AA0DB5" w:rsidRPr="00E20577" w:rsidRDefault="00AA0DB5" w:rsidP="00AA0DB5">
            <w:pPr>
              <w:jc w:val="center"/>
            </w:pPr>
            <w:r>
              <w:t>2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4777FCD1" w14:textId="05897D92" w:rsidR="00AA0DB5" w:rsidRPr="00E20577" w:rsidRDefault="00AA0DB5" w:rsidP="00E20577">
            <w:r w:rsidRPr="00E20577">
              <w:t xml:space="preserve">Patientansvarig läkare ansvarar för att adekvat provtagning sker för att fastställa smittämne. Annars svårt att agera korrekt.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45485000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221087D0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2F2B3F53" w14:textId="6F370E4D" w:rsidTr="00AA0DB5">
        <w:tc>
          <w:tcPr>
            <w:tcW w:w="426" w:type="dxa"/>
          </w:tcPr>
          <w:p w14:paraId="7548A8E4" w14:textId="11CB0A9D" w:rsidR="00AA0DB5" w:rsidRPr="00E20577" w:rsidRDefault="00AA0DB5" w:rsidP="00AA0DB5">
            <w:pPr>
              <w:jc w:val="center"/>
            </w:pPr>
            <w:r>
              <w:t>3</w:t>
            </w:r>
          </w:p>
        </w:tc>
        <w:tc>
          <w:tcPr>
            <w:tcW w:w="12394" w:type="dxa"/>
          </w:tcPr>
          <w:p w14:paraId="3D743BE9" w14:textId="346A83A2" w:rsidR="00AA0DB5" w:rsidRPr="00E20577" w:rsidRDefault="00AA0DB5" w:rsidP="00E20577">
            <w:r w:rsidRPr="00E20577">
              <w:t>Kontakta vårdhygienisk expertis vid misstanke om utbrott, två eller flera fall av diarré och/eller kräkning inom cirka en vecka hos vårdtagare och/eller personal</w:t>
            </w:r>
          </w:p>
        </w:tc>
        <w:tc>
          <w:tcPr>
            <w:tcW w:w="1170" w:type="dxa"/>
          </w:tcPr>
          <w:p w14:paraId="4D8EC9AD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2E2C94B6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28BBDFF6" w14:textId="7F51E3F4" w:rsidTr="00AA0DB5">
        <w:tc>
          <w:tcPr>
            <w:tcW w:w="426" w:type="dxa"/>
            <w:shd w:val="clear" w:color="auto" w:fill="BDD6EE" w:themeFill="accent1" w:themeFillTint="66"/>
          </w:tcPr>
          <w:p w14:paraId="0A46C28E" w14:textId="3562D88A" w:rsidR="00AA0DB5" w:rsidRPr="00E20577" w:rsidRDefault="00AA0DB5" w:rsidP="00AA0DB5">
            <w:pPr>
              <w:jc w:val="center"/>
            </w:pPr>
            <w:r>
              <w:t>4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29291949" w14:textId="7F841C83" w:rsidR="00AA0DB5" w:rsidRPr="00E20577" w:rsidRDefault="00AA0DB5" w:rsidP="00E20577">
            <w:r w:rsidRPr="00E20577">
              <w:t xml:space="preserve">Meddela MAS om att utbrott uppstått.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020AB1A2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03A2FFAE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6915273B" w14:textId="1F376964" w:rsidTr="00AA0DB5">
        <w:tc>
          <w:tcPr>
            <w:tcW w:w="426" w:type="dxa"/>
          </w:tcPr>
          <w:p w14:paraId="1190D489" w14:textId="2C1A061E" w:rsidR="00AA0DB5" w:rsidRPr="00E20577" w:rsidRDefault="00AA0DB5" w:rsidP="00AA0DB5">
            <w:pPr>
              <w:jc w:val="center"/>
            </w:pPr>
            <w:r>
              <w:t>5</w:t>
            </w:r>
          </w:p>
        </w:tc>
        <w:tc>
          <w:tcPr>
            <w:tcW w:w="12394" w:type="dxa"/>
          </w:tcPr>
          <w:p w14:paraId="4A8B9D0F" w14:textId="57A289E4" w:rsidR="00AA0DB5" w:rsidRPr="00E20577" w:rsidRDefault="00AA0DB5" w:rsidP="00E20577">
            <w:r w:rsidRPr="00E20577">
              <w:t>Vårda vårdtagare med symtom på enkelrum med stängd dörr</w:t>
            </w:r>
          </w:p>
        </w:tc>
        <w:tc>
          <w:tcPr>
            <w:tcW w:w="1170" w:type="dxa"/>
          </w:tcPr>
          <w:p w14:paraId="7FCAD4D0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2BD2D721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671A67C2" w14:textId="5293D07F" w:rsidTr="00AA0DB5">
        <w:tc>
          <w:tcPr>
            <w:tcW w:w="426" w:type="dxa"/>
            <w:shd w:val="clear" w:color="auto" w:fill="BDD6EE" w:themeFill="accent1" w:themeFillTint="66"/>
          </w:tcPr>
          <w:p w14:paraId="48DD1D48" w14:textId="7D697A85" w:rsidR="00AA0DB5" w:rsidRPr="00E20577" w:rsidRDefault="00AA0DB5" w:rsidP="00AA0DB5">
            <w:pPr>
              <w:jc w:val="center"/>
            </w:pPr>
            <w:r>
              <w:t>6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6B8EFA04" w14:textId="7C36440A" w:rsidR="00AA0DB5" w:rsidRPr="00E20577" w:rsidRDefault="00AA0DB5" w:rsidP="00E20577">
            <w:r w:rsidRPr="00E20577">
              <w:t xml:space="preserve">Om möjligt rekommendera vårdtagare i ordinärt boende att använda separat toalett, annars öka städfrekvens toaletten.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469923C4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0BB28B3B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7F1B7955" w14:textId="5B9409E8" w:rsidTr="00AA0DB5">
        <w:tc>
          <w:tcPr>
            <w:tcW w:w="426" w:type="dxa"/>
          </w:tcPr>
          <w:p w14:paraId="0CAC7C8D" w14:textId="528E4769" w:rsidR="00AA0DB5" w:rsidRPr="00E20577" w:rsidRDefault="00AA0DB5" w:rsidP="00AA0DB5">
            <w:pPr>
              <w:jc w:val="center"/>
            </w:pPr>
            <w:r>
              <w:t>7</w:t>
            </w:r>
          </w:p>
        </w:tc>
        <w:tc>
          <w:tcPr>
            <w:tcW w:w="12394" w:type="dxa"/>
          </w:tcPr>
          <w:p w14:paraId="7B0B6480" w14:textId="65B9317D" w:rsidR="00AA0DB5" w:rsidRPr="00E20577" w:rsidRDefault="00AA0DB5" w:rsidP="00E20577">
            <w:r w:rsidRPr="00E20577">
              <w:t>Tillämpa basala hygienrutiner med tillägg av mekanisk rengöring av händerna med flytande tvål och vatten. Tvål och torkpapper ska finn</w:t>
            </w:r>
            <w:r>
              <w:t>a</w:t>
            </w:r>
            <w:r w:rsidRPr="00E20577">
              <w:t xml:space="preserve">s inne hos varje vårdtagare, så att personal kan utföra handhygien på plats. Eller måste tas med till plats; ordinärt boende. </w:t>
            </w:r>
          </w:p>
        </w:tc>
        <w:tc>
          <w:tcPr>
            <w:tcW w:w="1170" w:type="dxa"/>
          </w:tcPr>
          <w:p w14:paraId="559BA270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594D0151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21DD1BB0" w14:textId="7A3859D0" w:rsidTr="00AA0DB5">
        <w:tc>
          <w:tcPr>
            <w:tcW w:w="426" w:type="dxa"/>
            <w:shd w:val="clear" w:color="auto" w:fill="BDD6EE" w:themeFill="accent1" w:themeFillTint="66"/>
          </w:tcPr>
          <w:p w14:paraId="4E0220BF" w14:textId="3756742B" w:rsidR="00AA0DB5" w:rsidRPr="00E20577" w:rsidRDefault="00AA0DB5" w:rsidP="00AA0DB5">
            <w:pPr>
              <w:jc w:val="center"/>
            </w:pPr>
            <w:r>
              <w:t>8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5C0AB560" w14:textId="5032F587" w:rsidR="00AA0DB5" w:rsidRPr="00E20577" w:rsidRDefault="00AA0DB5" w:rsidP="00E20577">
            <w:r w:rsidRPr="00E20577">
              <w:t xml:space="preserve">Säkerställ att all personal arbetar utan ringar, klocka, smycken, förband på händer och underarmar. Att naglarna är korta och utan lack/konstmaterial. Allt detta för att en korrekt handhygien ska kunna utföras.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580A89B6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5EDA7526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403650D3" w14:textId="7DCD24EB" w:rsidTr="00AA0DB5">
        <w:tc>
          <w:tcPr>
            <w:tcW w:w="426" w:type="dxa"/>
          </w:tcPr>
          <w:p w14:paraId="531F8F77" w14:textId="0AB3541D" w:rsidR="00AA0DB5" w:rsidRPr="00E20577" w:rsidRDefault="00AA0DB5" w:rsidP="00AA0DB5">
            <w:pPr>
              <w:jc w:val="center"/>
            </w:pPr>
            <w:r>
              <w:t>9</w:t>
            </w:r>
          </w:p>
        </w:tc>
        <w:tc>
          <w:tcPr>
            <w:tcW w:w="12394" w:type="dxa"/>
          </w:tcPr>
          <w:p w14:paraId="3A7BF36C" w14:textId="42AF1E05" w:rsidR="00AA0DB5" w:rsidRPr="00E20577" w:rsidRDefault="00AA0DB5" w:rsidP="00E20577">
            <w:r w:rsidRPr="00E20577">
              <w:t xml:space="preserve">Säkerställ att </w:t>
            </w:r>
            <w:proofErr w:type="gramStart"/>
            <w:r w:rsidRPr="00E20577">
              <w:t>arbetskläder(</w:t>
            </w:r>
            <w:proofErr w:type="gramEnd"/>
            <w:r w:rsidRPr="00E20577">
              <w:t xml:space="preserve">över- och underdel) finns till all personal </w:t>
            </w:r>
            <w:proofErr w:type="spellStart"/>
            <w:r w:rsidRPr="00E20577">
              <w:t>inkl</w:t>
            </w:r>
            <w:proofErr w:type="spellEnd"/>
            <w:r w:rsidRPr="00E20577">
              <w:t xml:space="preserve"> vikarier och arbetskläder tvättas enligt </w:t>
            </w:r>
            <w:proofErr w:type="spellStart"/>
            <w:r w:rsidRPr="00E20577">
              <w:t>Vårdhygiens</w:t>
            </w:r>
            <w:proofErr w:type="spellEnd"/>
            <w:r w:rsidRPr="00E20577">
              <w:t xml:space="preserve"> instruktioner samt kvarstannar på arbetsplatsen Säkerställ att arbetskläderna ska bytas dagligen eller oftare vid behov. </w:t>
            </w:r>
          </w:p>
        </w:tc>
        <w:tc>
          <w:tcPr>
            <w:tcW w:w="1170" w:type="dxa"/>
          </w:tcPr>
          <w:p w14:paraId="0ED179C3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420E3DB6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458495B3" w14:textId="37625026" w:rsidTr="00AA0DB5">
        <w:tc>
          <w:tcPr>
            <w:tcW w:w="426" w:type="dxa"/>
            <w:shd w:val="clear" w:color="auto" w:fill="BDD6EE" w:themeFill="accent1" w:themeFillTint="66"/>
          </w:tcPr>
          <w:p w14:paraId="453016B6" w14:textId="72A6346D" w:rsidR="00AA0DB5" w:rsidRPr="00E20577" w:rsidRDefault="00AA0DB5" w:rsidP="00AA0DB5">
            <w:pPr>
              <w:jc w:val="center"/>
            </w:pPr>
            <w:r>
              <w:t>10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7EC77947" w14:textId="7CCFA669" w:rsidR="00AA0DB5" w:rsidRPr="00E20577" w:rsidRDefault="00AA0DB5" w:rsidP="00E20577">
            <w:r w:rsidRPr="00E20577">
              <w:t xml:space="preserve">Avdela personal som tar hand om vårdtagare med magsjuka. Bedriv kohortvård hela dygnet. Gäller även ordinärt boende.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4211B322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51A9A442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7D0E9CC4" w14:textId="740F6BBD" w:rsidTr="00AA0DB5">
        <w:tc>
          <w:tcPr>
            <w:tcW w:w="426" w:type="dxa"/>
          </w:tcPr>
          <w:p w14:paraId="28F9A1B7" w14:textId="5517B66D" w:rsidR="00AA0DB5" w:rsidRPr="00E20577" w:rsidRDefault="00AA0DB5" w:rsidP="00AA0DB5">
            <w:pPr>
              <w:jc w:val="center"/>
            </w:pPr>
            <w:r>
              <w:t>11</w:t>
            </w:r>
          </w:p>
        </w:tc>
        <w:tc>
          <w:tcPr>
            <w:tcW w:w="12394" w:type="dxa"/>
          </w:tcPr>
          <w:p w14:paraId="0A6FC614" w14:textId="60E414AA" w:rsidR="00AA0DB5" w:rsidRPr="00E20577" w:rsidRDefault="00AA0DB5" w:rsidP="00E20577">
            <w:r w:rsidRPr="00E20577">
              <w:t xml:space="preserve">Avdela personal som sköter mathanteringen. Denna personal bör inte delta i vård av vårdtagare med vinterkräksjuka  </w:t>
            </w:r>
          </w:p>
        </w:tc>
        <w:tc>
          <w:tcPr>
            <w:tcW w:w="1170" w:type="dxa"/>
          </w:tcPr>
          <w:p w14:paraId="17B16890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0EA523DB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222B1BED" w14:textId="705D3523" w:rsidTr="00AA0DB5">
        <w:tc>
          <w:tcPr>
            <w:tcW w:w="426" w:type="dxa"/>
            <w:shd w:val="clear" w:color="auto" w:fill="BDD6EE" w:themeFill="accent1" w:themeFillTint="66"/>
          </w:tcPr>
          <w:p w14:paraId="0601603F" w14:textId="63EA1C27" w:rsidR="00AA0DB5" w:rsidRPr="00E20577" w:rsidRDefault="00AA0DB5" w:rsidP="00AA0DB5">
            <w:pPr>
              <w:jc w:val="center"/>
            </w:pPr>
            <w:r>
              <w:t>12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34A1118D" w14:textId="0BBDA8CC" w:rsidR="00AA0DB5" w:rsidRPr="00E20577" w:rsidRDefault="00AA0DB5" w:rsidP="00E20577">
            <w:r w:rsidRPr="00E20577">
              <w:t xml:space="preserve">Inga vagnar med material utanför vårdtagarens dörr.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3B57F1BE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42CC82D7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71ABCF25" w14:textId="3AC44726" w:rsidTr="00AA0DB5">
        <w:tc>
          <w:tcPr>
            <w:tcW w:w="426" w:type="dxa"/>
          </w:tcPr>
          <w:p w14:paraId="1689346D" w14:textId="666EF0FF" w:rsidR="00AA0DB5" w:rsidRPr="00E20577" w:rsidRDefault="00AA0DB5" w:rsidP="00AA0DB5">
            <w:pPr>
              <w:jc w:val="center"/>
            </w:pPr>
            <w:r>
              <w:t>13</w:t>
            </w:r>
          </w:p>
        </w:tc>
        <w:tc>
          <w:tcPr>
            <w:tcW w:w="12394" w:type="dxa"/>
          </w:tcPr>
          <w:p w14:paraId="6ADB146F" w14:textId="7DD604F5" w:rsidR="00AA0DB5" w:rsidRPr="00E20577" w:rsidRDefault="00AA0DB5" w:rsidP="00E20577">
            <w:r w:rsidRPr="00E20577">
              <w:t xml:space="preserve">Informera och/eller </w:t>
            </w:r>
            <w:proofErr w:type="gramStart"/>
            <w:r w:rsidRPr="00E20577">
              <w:t>hjälp vårdtagare</w:t>
            </w:r>
            <w:proofErr w:type="gramEnd"/>
            <w:r w:rsidRPr="00E20577">
              <w:t xml:space="preserve"> med deras handtvätt.</w:t>
            </w:r>
          </w:p>
        </w:tc>
        <w:tc>
          <w:tcPr>
            <w:tcW w:w="1170" w:type="dxa"/>
          </w:tcPr>
          <w:p w14:paraId="6E2540AA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16EA5CDE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3AE909EE" w14:textId="37F95EE1" w:rsidTr="00AA0DB5">
        <w:tc>
          <w:tcPr>
            <w:tcW w:w="426" w:type="dxa"/>
            <w:shd w:val="clear" w:color="auto" w:fill="BDD6EE" w:themeFill="accent1" w:themeFillTint="66"/>
          </w:tcPr>
          <w:p w14:paraId="0DD33AC9" w14:textId="7A5E200D" w:rsidR="00AA0DB5" w:rsidRPr="00E20577" w:rsidRDefault="00AA0DB5" w:rsidP="00AA0DB5">
            <w:pPr>
              <w:jc w:val="center"/>
            </w:pPr>
            <w:r>
              <w:t>14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6736C323" w14:textId="28ACF22C" w:rsidR="00AA0DB5" w:rsidRPr="00E20577" w:rsidRDefault="00AA0DB5" w:rsidP="00E20577">
            <w:r w:rsidRPr="00E20577">
              <w:t>Avbryt all bufféservering såväl till vårdtagare som till personal. Obs! Ingen ”fredagsfika”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66090D7F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74B9BA59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315812E1" w14:textId="142ED5A8" w:rsidTr="00AA0DB5">
        <w:tc>
          <w:tcPr>
            <w:tcW w:w="426" w:type="dxa"/>
          </w:tcPr>
          <w:p w14:paraId="65B302C2" w14:textId="184828E6" w:rsidR="00AA0DB5" w:rsidRPr="00E20577" w:rsidRDefault="00AA0DB5" w:rsidP="00AA0DB5">
            <w:pPr>
              <w:jc w:val="center"/>
            </w:pPr>
            <w:r>
              <w:t>15</w:t>
            </w:r>
          </w:p>
        </w:tc>
        <w:tc>
          <w:tcPr>
            <w:tcW w:w="12394" w:type="dxa"/>
          </w:tcPr>
          <w:p w14:paraId="192EBEBD" w14:textId="7B82D85B" w:rsidR="00AA0DB5" w:rsidRPr="00E20577" w:rsidRDefault="00AA0DB5" w:rsidP="00E20577">
            <w:r w:rsidRPr="00E20577">
              <w:t>För loggbok/epidemirapport över insjuknade.</w:t>
            </w:r>
          </w:p>
        </w:tc>
        <w:tc>
          <w:tcPr>
            <w:tcW w:w="1170" w:type="dxa"/>
          </w:tcPr>
          <w:p w14:paraId="33033669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63C7421B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16CA2584" w14:textId="6E3FE8DC" w:rsidTr="00AA0DB5">
        <w:tc>
          <w:tcPr>
            <w:tcW w:w="426" w:type="dxa"/>
            <w:shd w:val="clear" w:color="auto" w:fill="BDD6EE" w:themeFill="accent1" w:themeFillTint="66"/>
          </w:tcPr>
          <w:p w14:paraId="34A1293C" w14:textId="2DB8BDED" w:rsidR="00AA0DB5" w:rsidRPr="00E20577" w:rsidRDefault="00AA0DB5" w:rsidP="00AA0DB5">
            <w:pPr>
              <w:jc w:val="center"/>
            </w:pPr>
            <w:r>
              <w:t>16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1AD920C0" w14:textId="1F7DB54E" w:rsidR="00AA0DB5" w:rsidRPr="00E20577" w:rsidRDefault="00AA0DB5" w:rsidP="00E20577">
            <w:r w:rsidRPr="00E20577">
              <w:t xml:space="preserve">Skylta avdelningen med information ”magsjuka”. Avråda anhöriga att besöka.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692FFB0D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24D54512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0884037C" w14:textId="24C794D7" w:rsidTr="00AA0DB5">
        <w:tc>
          <w:tcPr>
            <w:tcW w:w="426" w:type="dxa"/>
          </w:tcPr>
          <w:p w14:paraId="11F26BBD" w14:textId="768A9254" w:rsidR="00AA0DB5" w:rsidRPr="00E20577" w:rsidRDefault="00AA0DB5" w:rsidP="00AA0DB5">
            <w:pPr>
              <w:jc w:val="center"/>
            </w:pPr>
            <w:r>
              <w:t>17</w:t>
            </w:r>
          </w:p>
        </w:tc>
        <w:tc>
          <w:tcPr>
            <w:tcW w:w="12394" w:type="dxa"/>
          </w:tcPr>
          <w:p w14:paraId="640E0288" w14:textId="25B7A99B" w:rsidR="00AA0DB5" w:rsidRPr="00E20577" w:rsidRDefault="00AA0DB5" w:rsidP="00E20577">
            <w:r w:rsidRPr="00E20577">
              <w:t xml:space="preserve">Rumsbunden städutrustning eller engångsmaterial. </w:t>
            </w:r>
          </w:p>
        </w:tc>
        <w:tc>
          <w:tcPr>
            <w:tcW w:w="1170" w:type="dxa"/>
          </w:tcPr>
          <w:p w14:paraId="6FA4F158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17A5B2A8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7EC33590" w14:textId="4AC39380" w:rsidTr="00AA0DB5">
        <w:tc>
          <w:tcPr>
            <w:tcW w:w="426" w:type="dxa"/>
            <w:shd w:val="clear" w:color="auto" w:fill="BDD6EE" w:themeFill="accent1" w:themeFillTint="66"/>
          </w:tcPr>
          <w:p w14:paraId="76C4AF47" w14:textId="0F9ED563" w:rsidR="00AA0DB5" w:rsidRPr="00E20577" w:rsidRDefault="00AA0DB5" w:rsidP="00AA0DB5">
            <w:pPr>
              <w:jc w:val="center"/>
            </w:pPr>
            <w:r>
              <w:t>18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4B866AFC" w14:textId="1C1BEFA1" w:rsidR="00AA0DB5" w:rsidRPr="00E20577" w:rsidRDefault="00AA0DB5" w:rsidP="00E20577">
            <w:r w:rsidRPr="00E20577">
              <w:t xml:space="preserve">Desinfektera dagligen </w:t>
            </w:r>
            <w:proofErr w:type="spellStart"/>
            <w:r w:rsidRPr="00E20577">
              <w:t>tagytor</w:t>
            </w:r>
            <w:proofErr w:type="spellEnd"/>
            <w:r w:rsidRPr="00E20577">
              <w:t xml:space="preserve"> i vårdtagarens omedelbara närhet exempelvis handtag, sänggrindar, nattduksbord. Använd alkoholbaserat </w:t>
            </w:r>
            <w:proofErr w:type="spellStart"/>
            <w:r w:rsidRPr="00E20577">
              <w:t>ytdesinfektionsmedel</w:t>
            </w:r>
            <w:proofErr w:type="spellEnd"/>
            <w:r w:rsidRPr="00E20577">
              <w:t xml:space="preserve"> med tensid.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130B5F68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4BFE5F61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467BB864" w14:textId="789DE9D2" w:rsidTr="00AA0DB5">
        <w:tc>
          <w:tcPr>
            <w:tcW w:w="426" w:type="dxa"/>
          </w:tcPr>
          <w:p w14:paraId="7B50E9BE" w14:textId="7ED4C6EA" w:rsidR="00AA0DB5" w:rsidRPr="00E20577" w:rsidRDefault="00AA0DB5" w:rsidP="00AA0DB5">
            <w:pPr>
              <w:jc w:val="center"/>
            </w:pPr>
            <w:r>
              <w:t>19</w:t>
            </w:r>
          </w:p>
        </w:tc>
        <w:tc>
          <w:tcPr>
            <w:tcW w:w="12394" w:type="dxa"/>
          </w:tcPr>
          <w:p w14:paraId="21EAC45C" w14:textId="7285350B" w:rsidR="00AA0DB5" w:rsidRPr="00E20577" w:rsidRDefault="00AA0DB5" w:rsidP="00E20577">
            <w:r w:rsidRPr="00E20577">
              <w:t xml:space="preserve">Desinfektera flera gånger om dagen </w:t>
            </w:r>
            <w:proofErr w:type="spellStart"/>
            <w:r w:rsidRPr="00E20577">
              <w:t>tagytor</w:t>
            </w:r>
            <w:proofErr w:type="spellEnd"/>
            <w:r w:rsidRPr="00E20577">
              <w:t xml:space="preserve"> som ledstänger, hissknappar, dörrhandtag, gemensamma toaletter med alkoholbaserat </w:t>
            </w:r>
            <w:proofErr w:type="spellStart"/>
            <w:r w:rsidRPr="00E20577">
              <w:t>ytdesinfektionsmedel</w:t>
            </w:r>
            <w:proofErr w:type="spellEnd"/>
            <w:r w:rsidRPr="00E20577">
              <w:t xml:space="preserve"> med tensid.  </w:t>
            </w:r>
          </w:p>
        </w:tc>
        <w:tc>
          <w:tcPr>
            <w:tcW w:w="1170" w:type="dxa"/>
          </w:tcPr>
          <w:p w14:paraId="6546037A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5D201878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0BA79C88" w14:textId="3357A51C" w:rsidTr="00AA0DB5">
        <w:tc>
          <w:tcPr>
            <w:tcW w:w="426" w:type="dxa"/>
            <w:shd w:val="clear" w:color="auto" w:fill="BDD6EE" w:themeFill="accent1" w:themeFillTint="66"/>
          </w:tcPr>
          <w:p w14:paraId="0674AB26" w14:textId="02B07368" w:rsidR="00AA0DB5" w:rsidRPr="00E20577" w:rsidRDefault="00AA0DB5" w:rsidP="00AA0DB5">
            <w:pPr>
              <w:jc w:val="center"/>
            </w:pPr>
            <w:r>
              <w:t>20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135DAC4C" w14:textId="6A241CE0" w:rsidR="00AA0DB5" w:rsidRPr="00E20577" w:rsidRDefault="00AA0DB5" w:rsidP="00E20577">
            <w:r w:rsidRPr="00E20577">
              <w:t>Var aktsam på att robotkatt eller likande ”djur” som används av flera vårdtagare, kan vara en källa till smittspridning.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0949A148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44660421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2610655F" w14:textId="18B9417A" w:rsidTr="00AA0DB5">
        <w:tc>
          <w:tcPr>
            <w:tcW w:w="426" w:type="dxa"/>
          </w:tcPr>
          <w:p w14:paraId="7535E8F9" w14:textId="550C2C81" w:rsidR="00AA0DB5" w:rsidRPr="00E20577" w:rsidRDefault="00AA0DB5" w:rsidP="00AA0DB5">
            <w:pPr>
              <w:jc w:val="center"/>
            </w:pPr>
            <w:r>
              <w:t>21</w:t>
            </w:r>
          </w:p>
        </w:tc>
        <w:tc>
          <w:tcPr>
            <w:tcW w:w="12394" w:type="dxa"/>
          </w:tcPr>
          <w:p w14:paraId="382CB45F" w14:textId="44D68840" w:rsidR="00AA0DB5" w:rsidRPr="00E20577" w:rsidRDefault="00AA0DB5" w:rsidP="00E20577">
            <w:r w:rsidRPr="00E20577">
              <w:t>Hjälpmedlen och flergångsutrustning rengörs och desinfekteras dagligen.</w:t>
            </w:r>
          </w:p>
        </w:tc>
        <w:tc>
          <w:tcPr>
            <w:tcW w:w="1170" w:type="dxa"/>
          </w:tcPr>
          <w:p w14:paraId="341BD3B5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1611B6D8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513B3E27" w14:textId="40A047EC" w:rsidTr="00AA0DB5">
        <w:tc>
          <w:tcPr>
            <w:tcW w:w="426" w:type="dxa"/>
            <w:shd w:val="clear" w:color="auto" w:fill="BDD6EE" w:themeFill="accent1" w:themeFillTint="66"/>
          </w:tcPr>
          <w:p w14:paraId="5BDAABE7" w14:textId="5554FA70" w:rsidR="00AA0DB5" w:rsidRPr="00E20577" w:rsidRDefault="00AA0DB5" w:rsidP="00AA0DB5">
            <w:pPr>
              <w:jc w:val="center"/>
            </w:pPr>
            <w:r>
              <w:t>22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5E0DC494" w14:textId="30377D9D" w:rsidR="00AA0DB5" w:rsidRPr="00E20577" w:rsidRDefault="00AA0DB5" w:rsidP="00E20577">
            <w:r w:rsidRPr="00E20577">
              <w:t>Slutstädning ska ske efter 48 timmars stabil symtomfrihet. Följ instruktioner för att förhindra att vårdtagare och personal återinsjuknar. (Se Vårdhygienisk handbok för kommunal vård och omsorg i Östergötland)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4708725E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5FF3FF33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7D56D8DA" w14:textId="2E9238E5" w:rsidTr="00AA0DB5">
        <w:tc>
          <w:tcPr>
            <w:tcW w:w="426" w:type="dxa"/>
          </w:tcPr>
          <w:p w14:paraId="2BC1F97C" w14:textId="2037CE51" w:rsidR="00AA0DB5" w:rsidRPr="00E20577" w:rsidRDefault="00AA0DB5" w:rsidP="00AA0DB5">
            <w:pPr>
              <w:jc w:val="center"/>
            </w:pPr>
            <w:r>
              <w:t>23</w:t>
            </w:r>
          </w:p>
        </w:tc>
        <w:tc>
          <w:tcPr>
            <w:tcW w:w="12394" w:type="dxa"/>
          </w:tcPr>
          <w:p w14:paraId="68CC3695" w14:textId="6F019BC6" w:rsidR="00AA0DB5" w:rsidRPr="00E20577" w:rsidRDefault="00AA0DB5" w:rsidP="00E20577">
            <w:r w:rsidRPr="00E20577">
              <w:t xml:space="preserve">Bedömning att utbrottet är slut görs av chef, sjuksköterska, läkare och Vårdhygien tillsammans. </w:t>
            </w:r>
          </w:p>
        </w:tc>
        <w:tc>
          <w:tcPr>
            <w:tcW w:w="1170" w:type="dxa"/>
          </w:tcPr>
          <w:p w14:paraId="041E66A1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</w:tcPr>
          <w:p w14:paraId="3A9D7C36" w14:textId="77777777" w:rsidR="00AA0DB5" w:rsidRPr="00E20577" w:rsidRDefault="00AA0DB5" w:rsidP="00E20577">
            <w:pPr>
              <w:jc w:val="center"/>
            </w:pPr>
          </w:p>
        </w:tc>
      </w:tr>
      <w:tr w:rsidR="00AA0DB5" w:rsidRPr="00E20577" w14:paraId="70E7EFEF" w14:textId="46B30759" w:rsidTr="00AA0DB5">
        <w:tc>
          <w:tcPr>
            <w:tcW w:w="426" w:type="dxa"/>
            <w:shd w:val="clear" w:color="auto" w:fill="BDD6EE" w:themeFill="accent1" w:themeFillTint="66"/>
          </w:tcPr>
          <w:p w14:paraId="75DE9AD8" w14:textId="5641502C" w:rsidR="00AA0DB5" w:rsidRPr="00E20577" w:rsidRDefault="00AA0DB5" w:rsidP="00AA0DB5">
            <w:pPr>
              <w:jc w:val="center"/>
            </w:pPr>
            <w:r>
              <w:t>24</w:t>
            </w:r>
          </w:p>
        </w:tc>
        <w:tc>
          <w:tcPr>
            <w:tcW w:w="12394" w:type="dxa"/>
            <w:shd w:val="clear" w:color="auto" w:fill="BDD6EE" w:themeFill="accent1" w:themeFillTint="66"/>
          </w:tcPr>
          <w:p w14:paraId="07CA2486" w14:textId="4B8CDBF1" w:rsidR="00AA0DB5" w:rsidRPr="00E20577" w:rsidRDefault="00AA0DB5" w:rsidP="00E20577">
            <w:r w:rsidRPr="00E20577">
              <w:t xml:space="preserve">Sammanfattning av utbrottet skickas till MAS och Vårdhygien.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346FC528" w14:textId="77777777" w:rsidR="00AA0DB5" w:rsidRPr="00E20577" w:rsidRDefault="00AA0DB5" w:rsidP="00E20577">
            <w:pPr>
              <w:jc w:val="center"/>
            </w:pPr>
          </w:p>
        </w:tc>
        <w:tc>
          <w:tcPr>
            <w:tcW w:w="836" w:type="dxa"/>
            <w:shd w:val="clear" w:color="auto" w:fill="BDD6EE" w:themeFill="accent1" w:themeFillTint="66"/>
          </w:tcPr>
          <w:p w14:paraId="5D2DB21A" w14:textId="77777777" w:rsidR="00AA0DB5" w:rsidRPr="00E20577" w:rsidRDefault="00AA0DB5" w:rsidP="00E20577">
            <w:pPr>
              <w:jc w:val="center"/>
            </w:pPr>
          </w:p>
        </w:tc>
      </w:tr>
    </w:tbl>
    <w:p w14:paraId="385F5213" w14:textId="77777777" w:rsidR="001F41DD" w:rsidRDefault="001F41DD" w:rsidP="00E20577">
      <w:pPr>
        <w:pStyle w:val="Liststycke"/>
        <w:ind w:left="0"/>
      </w:pPr>
    </w:p>
    <w:sectPr w:rsidR="001F41DD" w:rsidSect="00E205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0540"/>
    <w:multiLevelType w:val="hybridMultilevel"/>
    <w:tmpl w:val="0D7C9F2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D0E2A"/>
    <w:multiLevelType w:val="hybridMultilevel"/>
    <w:tmpl w:val="7CCC1356"/>
    <w:lvl w:ilvl="0" w:tplc="6A9679D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105D"/>
    <w:multiLevelType w:val="hybridMultilevel"/>
    <w:tmpl w:val="CB68CAC6"/>
    <w:lvl w:ilvl="0" w:tplc="6A9679D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887E9D"/>
    <w:multiLevelType w:val="hybridMultilevel"/>
    <w:tmpl w:val="63AA0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ED"/>
    <w:rsid w:val="00044CEC"/>
    <w:rsid w:val="00082AA3"/>
    <w:rsid w:val="0013485F"/>
    <w:rsid w:val="001F41DD"/>
    <w:rsid w:val="00253677"/>
    <w:rsid w:val="003973ED"/>
    <w:rsid w:val="00602815"/>
    <w:rsid w:val="007D1FF8"/>
    <w:rsid w:val="007E521E"/>
    <w:rsid w:val="0086558D"/>
    <w:rsid w:val="00AA0DB5"/>
    <w:rsid w:val="00B01AAF"/>
    <w:rsid w:val="00CA6981"/>
    <w:rsid w:val="00E20577"/>
    <w:rsid w:val="00F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3F5B"/>
  <w15:chartTrackingRefBased/>
  <w15:docId w15:val="{E478D19F-F158-4D81-9F89-0ED66AD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73E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2AA3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655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558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558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55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558D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E2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Cammerudh Christina</dc:creator>
  <cp:keywords/>
  <dc:description/>
  <cp:lastModifiedBy>Borgman Fred, Lena</cp:lastModifiedBy>
  <cp:revision>2</cp:revision>
  <cp:lastPrinted>2020-03-10T06:41:00Z</cp:lastPrinted>
  <dcterms:created xsi:type="dcterms:W3CDTF">2022-11-23T10:53:00Z</dcterms:created>
  <dcterms:modified xsi:type="dcterms:W3CDTF">2022-11-23T10:53:00Z</dcterms:modified>
</cp:coreProperties>
</file>